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ECE3" w14:textId="463698A0" w:rsidR="00141C02" w:rsidRDefault="00141C02" w:rsidP="00141C02"/>
    <w:p w14:paraId="4AF39D2D" w14:textId="6C46DFFB" w:rsidR="00141C02" w:rsidRPr="00141C02" w:rsidRDefault="00141C02" w:rsidP="00141C02">
      <w:pPr>
        <w:rPr>
          <w:rFonts w:ascii="Norwester" w:hAnsi="Norwester"/>
          <w:color w:val="4472C4" w:themeColor="accent1"/>
          <w:sz w:val="36"/>
          <w:szCs w:val="36"/>
        </w:rPr>
      </w:pPr>
      <w:r>
        <w:rPr>
          <w:rFonts w:ascii="Norwester" w:hAnsi="Norwester"/>
          <w:color w:val="4472C4" w:themeColor="accent1"/>
          <w:sz w:val="36"/>
          <w:szCs w:val="36"/>
        </w:rPr>
        <w:t xml:space="preserve">BT3 </w:t>
      </w: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Reflectie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</w:t>
      </w:r>
      <w:proofErr w:type="spellStart"/>
      <w:r>
        <w:rPr>
          <w:rFonts w:ascii="Norwester" w:hAnsi="Norwester"/>
          <w:color w:val="4472C4" w:themeColor="accent1"/>
          <w:sz w:val="36"/>
          <w:szCs w:val="36"/>
        </w:rPr>
        <w:t>gesprek</w:t>
      </w:r>
      <w:proofErr w:type="spellEnd"/>
      <w:r>
        <w:rPr>
          <w:rFonts w:ascii="Norwester" w:hAnsi="Norwester"/>
          <w:color w:val="4472C4" w:themeColor="accent1"/>
          <w:sz w:val="36"/>
          <w:szCs w:val="36"/>
        </w:rPr>
        <w:t xml:space="preserve"> portfolio</w:t>
      </w:r>
    </w:p>
    <w:p w14:paraId="1893E783" w14:textId="7D2553FE" w:rsidR="00141C02" w:rsidRDefault="00141C02" w:rsidP="00141C02"/>
    <w:p w14:paraId="1C143B73" w14:textId="4F396E23" w:rsidR="00141C02" w:rsidRDefault="00141C02" w:rsidP="00141C02"/>
    <w:p w14:paraId="694319DE" w14:textId="4E443BBB" w:rsidR="00141C02" w:rsidRDefault="00141C02" w:rsidP="00141C02"/>
    <w:p w14:paraId="792D3071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861"/>
      </w:tblGrid>
      <w:tr w:rsidR="00141C02" w:rsidRPr="00141C02" w14:paraId="55512290" w14:textId="77777777" w:rsidTr="005967E1">
        <w:tc>
          <w:tcPr>
            <w:tcW w:w="4603" w:type="dxa"/>
            <w:shd w:val="clear" w:color="auto" w:fill="auto"/>
          </w:tcPr>
          <w:p w14:paraId="55A8473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Naam kandidaat:</w:t>
            </w:r>
          </w:p>
          <w:p w14:paraId="33C05BF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861" w:type="dxa"/>
            <w:shd w:val="clear" w:color="auto" w:fill="auto"/>
          </w:tcPr>
          <w:p w14:paraId="75944CB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Datum:</w:t>
            </w:r>
          </w:p>
        </w:tc>
      </w:tr>
      <w:tr w:rsidR="00141C02" w:rsidRPr="00141C02" w14:paraId="3A7308EF" w14:textId="77777777" w:rsidTr="005967E1">
        <w:tc>
          <w:tcPr>
            <w:tcW w:w="4603" w:type="dxa"/>
            <w:shd w:val="clear" w:color="auto" w:fill="auto"/>
          </w:tcPr>
          <w:p w14:paraId="24A7CCC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Beoordelaar :</w:t>
            </w:r>
          </w:p>
          <w:p w14:paraId="546889D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861" w:type="dxa"/>
            <w:shd w:val="clear" w:color="auto" w:fill="auto"/>
          </w:tcPr>
          <w:p w14:paraId="497C23B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Plaats :</w:t>
            </w:r>
          </w:p>
        </w:tc>
      </w:tr>
    </w:tbl>
    <w:p w14:paraId="6A2A906A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41C02" w:rsidRPr="00141C02" w14:paraId="22C382EA" w14:textId="77777777" w:rsidTr="005967E1">
        <w:trPr>
          <w:trHeight w:val="314"/>
        </w:trPr>
        <w:tc>
          <w:tcPr>
            <w:tcW w:w="9463" w:type="dxa"/>
            <w:shd w:val="clear" w:color="auto" w:fill="D9D9D9"/>
          </w:tcPr>
          <w:p w14:paraId="7DF3194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Alle resultaten van de 4 </w:t>
            </w:r>
            <w:r w:rsidRPr="00141C02">
              <w:rPr>
                <w:rFonts w:ascii="IBM Plex Mono" w:eastAsia="MS Mincho" w:hAnsi="IBM Plex Mono" w:cs="Arial"/>
                <w:sz w:val="18"/>
                <w:szCs w:val="18"/>
                <w:shd w:val="clear" w:color="auto" w:fill="D9D9D9"/>
                <w:lang w:val="nl-NL" w:eastAsia="nl-NL"/>
              </w:rPr>
              <w:t>beheersingscriteria moeten VOLDAAN = JA zijn</w:t>
            </w: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</w:p>
          <w:p w14:paraId="721ECDA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Suggesties voor bespreking staan bij de beheersingscriteria.</w:t>
            </w:r>
          </w:p>
        </w:tc>
      </w:tr>
    </w:tbl>
    <w:p w14:paraId="4182145D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365406F5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462"/>
        <w:gridCol w:w="752"/>
        <w:gridCol w:w="902"/>
      </w:tblGrid>
      <w:tr w:rsidR="00141C02" w:rsidRPr="00141C02" w14:paraId="1A63AF54" w14:textId="77777777" w:rsidTr="005967E1">
        <w:tc>
          <w:tcPr>
            <w:tcW w:w="2454" w:type="pct"/>
            <w:shd w:val="clear" w:color="auto" w:fill="auto"/>
          </w:tcPr>
          <w:p w14:paraId="509BB04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Beheersingscriteria LLG / Trainingsleer</w:t>
            </w:r>
          </w:p>
        </w:tc>
        <w:tc>
          <w:tcPr>
            <w:tcW w:w="1723" w:type="pct"/>
            <w:shd w:val="clear" w:color="auto" w:fill="auto"/>
          </w:tcPr>
          <w:p w14:paraId="7FC78F3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823" w:type="pct"/>
            <w:gridSpan w:val="2"/>
            <w:shd w:val="clear" w:color="auto" w:fill="auto"/>
          </w:tcPr>
          <w:p w14:paraId="25CE9DA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0283EE9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141C02" w:rsidRPr="00141C02" w14:paraId="074069A6" w14:textId="77777777" w:rsidTr="005967E1">
        <w:tc>
          <w:tcPr>
            <w:tcW w:w="2454" w:type="pct"/>
            <w:shd w:val="clear" w:color="auto" w:fill="D9D9D9"/>
          </w:tcPr>
          <w:p w14:paraId="7D49F90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Het resultaat van de algemene principe van LLG  / TL</w:t>
            </w:r>
          </w:p>
        </w:tc>
        <w:tc>
          <w:tcPr>
            <w:tcW w:w="1723" w:type="pct"/>
            <w:shd w:val="clear" w:color="auto" w:fill="D9D9D9"/>
          </w:tcPr>
          <w:p w14:paraId="19E2F49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D9D9D9"/>
          </w:tcPr>
          <w:p w14:paraId="32CDC1C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1A9004B4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shd w:val="clear" w:color="auto" w:fill="auto"/>
          </w:tcPr>
          <w:p w14:paraId="22112836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037B2D11" w14:textId="77777777" w:rsidTr="005967E1">
        <w:tc>
          <w:tcPr>
            <w:tcW w:w="2454" w:type="pct"/>
            <w:shd w:val="clear" w:color="auto" w:fill="auto"/>
          </w:tcPr>
          <w:p w14:paraId="4D21CA7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uitleggen wat er onder ‘training’ wordt verstaan</w:t>
            </w:r>
          </w:p>
        </w:tc>
        <w:tc>
          <w:tcPr>
            <w:tcW w:w="1723" w:type="pct"/>
            <w:shd w:val="clear" w:color="auto" w:fill="auto"/>
          </w:tcPr>
          <w:p w14:paraId="246103C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38DBE81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 w:val="restart"/>
            <w:shd w:val="clear" w:color="auto" w:fill="D9D9D9"/>
          </w:tcPr>
          <w:p w14:paraId="6764075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7A84CE87" w14:textId="77777777" w:rsidTr="005967E1">
        <w:tc>
          <w:tcPr>
            <w:tcW w:w="2454" w:type="pct"/>
            <w:shd w:val="clear" w:color="auto" w:fill="auto"/>
          </w:tcPr>
          <w:p w14:paraId="277C941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aangeven hoe hij in zijn trainingen met het begrip Veilig Sport Klimaat  omgaat </w:t>
            </w:r>
          </w:p>
        </w:tc>
        <w:tc>
          <w:tcPr>
            <w:tcW w:w="1723" w:type="pct"/>
            <w:shd w:val="clear" w:color="auto" w:fill="auto"/>
          </w:tcPr>
          <w:p w14:paraId="7149B83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342D77A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4F54927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23F19D6C" w14:textId="77777777" w:rsidTr="005967E1">
        <w:tc>
          <w:tcPr>
            <w:tcW w:w="2454" w:type="pct"/>
            <w:shd w:val="clear" w:color="auto" w:fill="auto"/>
          </w:tcPr>
          <w:p w14:paraId="53F3FA5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uit de ASM de begrippen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deliberated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practice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play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verklaren</w:t>
            </w:r>
          </w:p>
        </w:tc>
        <w:tc>
          <w:tcPr>
            <w:tcW w:w="1723" w:type="pct"/>
            <w:shd w:val="clear" w:color="auto" w:fill="auto"/>
          </w:tcPr>
          <w:p w14:paraId="51D6D73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3A0AE7A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4F6655A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062284A2" w14:textId="77777777" w:rsidTr="005967E1">
        <w:tc>
          <w:tcPr>
            <w:tcW w:w="2454" w:type="pct"/>
            <w:shd w:val="clear" w:color="auto" w:fill="auto"/>
          </w:tcPr>
          <w:p w14:paraId="07310E5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vanuit de LTAD aangeven in welke fase zijn team zich bevindt </w:t>
            </w:r>
          </w:p>
        </w:tc>
        <w:tc>
          <w:tcPr>
            <w:tcW w:w="1723" w:type="pct"/>
            <w:shd w:val="clear" w:color="auto" w:fill="auto"/>
          </w:tcPr>
          <w:p w14:paraId="7FFF7B0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0720164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7502C3E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47D5C2DB" w14:textId="77777777" w:rsidTr="005967E1">
        <w:tc>
          <w:tcPr>
            <w:tcW w:w="2454" w:type="pct"/>
            <w:shd w:val="clear" w:color="auto" w:fill="auto"/>
          </w:tcPr>
          <w:p w14:paraId="7546FD4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de Teaching Game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for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Understanding verklaren</w:t>
            </w:r>
          </w:p>
        </w:tc>
        <w:tc>
          <w:tcPr>
            <w:tcW w:w="1723" w:type="pct"/>
            <w:shd w:val="clear" w:color="auto" w:fill="auto"/>
          </w:tcPr>
          <w:p w14:paraId="3F70C45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64286B1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7DA1EB8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605683FD" w14:textId="77777777" w:rsidTr="005967E1">
        <w:tc>
          <w:tcPr>
            <w:tcW w:w="2454" w:type="pct"/>
            <w:shd w:val="clear" w:color="auto" w:fill="auto"/>
          </w:tcPr>
          <w:p w14:paraId="6EA12E8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Weet wat empowerment is</w:t>
            </w:r>
          </w:p>
        </w:tc>
        <w:tc>
          <w:tcPr>
            <w:tcW w:w="1723" w:type="pct"/>
            <w:shd w:val="clear" w:color="auto" w:fill="auto"/>
          </w:tcPr>
          <w:p w14:paraId="38833BF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1D9FAEA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11FADF5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43EA0385" w14:textId="77777777" w:rsidTr="005967E1">
        <w:tc>
          <w:tcPr>
            <w:tcW w:w="2454" w:type="pct"/>
            <w:shd w:val="clear" w:color="auto" w:fill="auto"/>
          </w:tcPr>
          <w:p w14:paraId="72125F04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het begrip ‘feed forward’ denken verklaren </w:t>
            </w:r>
          </w:p>
        </w:tc>
        <w:tc>
          <w:tcPr>
            <w:tcW w:w="1723" w:type="pct"/>
            <w:shd w:val="clear" w:color="auto" w:fill="auto"/>
          </w:tcPr>
          <w:p w14:paraId="45D4220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762B217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6FAFBCC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5BA435A1" w14:textId="77777777" w:rsidTr="005967E1">
        <w:tc>
          <w:tcPr>
            <w:tcW w:w="2454" w:type="pct"/>
            <w:shd w:val="clear" w:color="auto" w:fill="auto"/>
          </w:tcPr>
          <w:p w14:paraId="0395EE7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Weet wat aerobe 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an-aerobe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energievoorziening is</w:t>
            </w:r>
          </w:p>
        </w:tc>
        <w:tc>
          <w:tcPr>
            <w:tcW w:w="1723" w:type="pct"/>
            <w:shd w:val="clear" w:color="auto" w:fill="auto"/>
          </w:tcPr>
          <w:p w14:paraId="29E938D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7335ACF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6D39C0B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614BD38F" w14:textId="77777777" w:rsidTr="005967E1">
        <w:tc>
          <w:tcPr>
            <w:tcW w:w="2454" w:type="pct"/>
            <w:shd w:val="clear" w:color="auto" w:fill="auto"/>
          </w:tcPr>
          <w:p w14:paraId="45AA3E06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i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verklaren dat basketbal een </w:t>
            </w:r>
            <w:r w:rsidRPr="00141C02">
              <w:rPr>
                <w:rFonts w:ascii="IBM Plex Mono" w:eastAsia="MS Mincho" w:hAnsi="IBM Plex Mono" w:cs="Arial"/>
                <w:i/>
                <w:sz w:val="18"/>
                <w:szCs w:val="18"/>
                <w:lang w:val="nl-NL" w:eastAsia="nl-NL"/>
              </w:rPr>
              <w:t>a-</w:t>
            </w:r>
            <w:proofErr w:type="spellStart"/>
            <w:r w:rsidRPr="00141C02">
              <w:rPr>
                <w:rFonts w:ascii="IBM Plex Mono" w:eastAsia="MS Mincho" w:hAnsi="IBM Plex Mono" w:cs="Arial"/>
                <w:i/>
                <w:sz w:val="18"/>
                <w:szCs w:val="18"/>
                <w:lang w:val="nl-NL" w:eastAsia="nl-NL"/>
              </w:rPr>
              <w:t>lactische</w:t>
            </w:r>
            <w:proofErr w:type="spellEnd"/>
            <w:r w:rsidRPr="00141C02">
              <w:rPr>
                <w:rFonts w:ascii="IBM Plex Mono" w:eastAsia="MS Mincho" w:hAnsi="IBM Plex Mono" w:cs="Arial"/>
                <w:i/>
                <w:sz w:val="18"/>
                <w:szCs w:val="18"/>
                <w:lang w:val="nl-NL" w:eastAsia="nl-NL"/>
              </w:rPr>
              <w:t xml:space="preserve"> sport</w:t>
            </w: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is</w:t>
            </w:r>
          </w:p>
        </w:tc>
        <w:tc>
          <w:tcPr>
            <w:tcW w:w="1723" w:type="pct"/>
            <w:shd w:val="clear" w:color="auto" w:fill="auto"/>
          </w:tcPr>
          <w:p w14:paraId="2F1A528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1FDD09E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7DD14B8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69CC52E" w14:textId="77777777" w:rsidTr="005967E1">
        <w:tc>
          <w:tcPr>
            <w:tcW w:w="2454" w:type="pct"/>
            <w:shd w:val="clear" w:color="auto" w:fill="auto"/>
          </w:tcPr>
          <w:p w14:paraId="34FFFA7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de begrippen ‘frisheid’ en ‘fitheid’ verklaren</w:t>
            </w:r>
          </w:p>
        </w:tc>
        <w:tc>
          <w:tcPr>
            <w:tcW w:w="1723" w:type="pct"/>
            <w:shd w:val="clear" w:color="auto" w:fill="auto"/>
          </w:tcPr>
          <w:p w14:paraId="5B38F8E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33B0B26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1CB9952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32FC7779" w14:textId="77777777" w:rsidTr="005967E1">
        <w:tc>
          <w:tcPr>
            <w:tcW w:w="2454" w:type="pct"/>
            <w:shd w:val="clear" w:color="auto" w:fill="auto"/>
          </w:tcPr>
          <w:p w14:paraId="1745236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526C921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4" w:type="pct"/>
            <w:shd w:val="clear" w:color="auto" w:fill="auto"/>
          </w:tcPr>
          <w:p w14:paraId="2A2C79F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49" w:type="pct"/>
            <w:vMerge/>
            <w:shd w:val="clear" w:color="auto" w:fill="D9D9D9"/>
          </w:tcPr>
          <w:p w14:paraId="075069E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1A8036A6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7FAFF29B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3462"/>
        <w:gridCol w:w="731"/>
        <w:gridCol w:w="922"/>
      </w:tblGrid>
      <w:tr w:rsidR="00141C02" w:rsidRPr="00141C02" w14:paraId="0482CC5E" w14:textId="77777777" w:rsidTr="005967E1">
        <w:tc>
          <w:tcPr>
            <w:tcW w:w="2454" w:type="pct"/>
            <w:shd w:val="clear" w:color="auto" w:fill="auto"/>
          </w:tcPr>
          <w:p w14:paraId="1BFB0E7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</w:t>
            </w:r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eheersingscriteria </w:t>
            </w:r>
            <w:proofErr w:type="spellStart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defense</w:t>
            </w:r>
            <w:proofErr w:type="spellEnd"/>
          </w:p>
        </w:tc>
        <w:tc>
          <w:tcPr>
            <w:tcW w:w="1723" w:type="pct"/>
            <w:shd w:val="clear" w:color="auto" w:fill="auto"/>
          </w:tcPr>
          <w:p w14:paraId="09676D5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823" w:type="pct"/>
            <w:gridSpan w:val="2"/>
            <w:shd w:val="clear" w:color="auto" w:fill="auto"/>
          </w:tcPr>
          <w:p w14:paraId="5FDB32B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7736986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141C02" w:rsidRPr="00141C02" w14:paraId="3CC5B80D" w14:textId="77777777" w:rsidTr="005967E1">
        <w:tc>
          <w:tcPr>
            <w:tcW w:w="2454" w:type="pct"/>
            <w:shd w:val="clear" w:color="auto" w:fill="D9D9D9"/>
          </w:tcPr>
          <w:p w14:paraId="28E6F74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defense</w:t>
            </w:r>
            <w:proofErr w:type="spellEnd"/>
          </w:p>
        </w:tc>
        <w:tc>
          <w:tcPr>
            <w:tcW w:w="1723" w:type="pct"/>
            <w:shd w:val="clear" w:color="auto" w:fill="D9D9D9"/>
          </w:tcPr>
          <w:p w14:paraId="3FAA5E4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D9D9D9"/>
          </w:tcPr>
          <w:p w14:paraId="05EF95B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534EA794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shd w:val="clear" w:color="auto" w:fill="auto"/>
          </w:tcPr>
          <w:p w14:paraId="0B7FB16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29A466EA" w14:textId="77777777" w:rsidTr="005967E1">
        <w:tc>
          <w:tcPr>
            <w:tcW w:w="2454" w:type="pct"/>
            <w:shd w:val="clear" w:color="auto" w:fill="auto"/>
          </w:tcPr>
          <w:p w14:paraId="0832995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de principes van een man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to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man verdedigen verklaren</w:t>
            </w:r>
          </w:p>
        </w:tc>
        <w:tc>
          <w:tcPr>
            <w:tcW w:w="1723" w:type="pct"/>
            <w:shd w:val="clear" w:color="auto" w:fill="auto"/>
          </w:tcPr>
          <w:p w14:paraId="1830CD6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2344065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 w:val="restart"/>
            <w:shd w:val="clear" w:color="auto" w:fill="D9D9D9"/>
          </w:tcPr>
          <w:p w14:paraId="03B3F40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4BF45FAD" w14:textId="77777777" w:rsidTr="005967E1">
        <w:tc>
          <w:tcPr>
            <w:tcW w:w="2454" w:type="pct"/>
            <w:shd w:val="clear" w:color="auto" w:fill="auto"/>
          </w:tcPr>
          <w:p w14:paraId="230CDA5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Weet wat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channeling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(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funneling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/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fanning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) is</w:t>
            </w:r>
          </w:p>
        </w:tc>
        <w:tc>
          <w:tcPr>
            <w:tcW w:w="1723" w:type="pct"/>
            <w:shd w:val="clear" w:color="auto" w:fill="auto"/>
          </w:tcPr>
          <w:p w14:paraId="3F218324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03B0CAC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305F1D5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7E626CEB" w14:textId="77777777" w:rsidTr="005967E1">
        <w:tc>
          <w:tcPr>
            <w:tcW w:w="2454" w:type="pct"/>
            <w:shd w:val="clear" w:color="auto" w:fill="auto"/>
          </w:tcPr>
          <w:p w14:paraId="790752F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Weet een down screen te verdedigen</w:t>
            </w:r>
          </w:p>
        </w:tc>
        <w:tc>
          <w:tcPr>
            <w:tcW w:w="1723" w:type="pct"/>
            <w:shd w:val="clear" w:color="auto" w:fill="auto"/>
          </w:tcPr>
          <w:p w14:paraId="2907269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125FA2A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79EFC4E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37815BFC" w14:textId="77777777" w:rsidTr="005967E1">
        <w:tc>
          <w:tcPr>
            <w:tcW w:w="2454" w:type="pct"/>
            <w:shd w:val="clear" w:color="auto" w:fill="auto"/>
          </w:tcPr>
          <w:p w14:paraId="20F975D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aangeven hoe de center rond en in de bucket wordt verdedigd</w:t>
            </w:r>
          </w:p>
        </w:tc>
        <w:tc>
          <w:tcPr>
            <w:tcW w:w="1723" w:type="pct"/>
            <w:shd w:val="clear" w:color="auto" w:fill="auto"/>
          </w:tcPr>
          <w:p w14:paraId="1D29DC46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69F41AE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54B8257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13DC763" w14:textId="77777777" w:rsidTr="005967E1">
        <w:tc>
          <w:tcPr>
            <w:tcW w:w="2454" w:type="pct"/>
            <w:shd w:val="clear" w:color="auto" w:fill="auto"/>
          </w:tcPr>
          <w:p w14:paraId="78B296A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een match up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defense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verklaren </w:t>
            </w:r>
          </w:p>
        </w:tc>
        <w:tc>
          <w:tcPr>
            <w:tcW w:w="1723" w:type="pct"/>
            <w:shd w:val="clear" w:color="auto" w:fill="auto"/>
          </w:tcPr>
          <w:p w14:paraId="764A892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247C095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457E16C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4D4F6773" w14:textId="77777777" w:rsidTr="005967E1">
        <w:tc>
          <w:tcPr>
            <w:tcW w:w="2454" w:type="pct"/>
            <w:shd w:val="clear" w:color="auto" w:fill="auto"/>
          </w:tcPr>
          <w:p w14:paraId="0A16DFA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een pressing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defense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neer zetten met </w:t>
            </w: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lastRenderedPageBreak/>
              <w:t xml:space="preserve">double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teaming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en trapping </w:t>
            </w:r>
          </w:p>
        </w:tc>
        <w:tc>
          <w:tcPr>
            <w:tcW w:w="1723" w:type="pct"/>
            <w:shd w:val="clear" w:color="auto" w:fill="auto"/>
          </w:tcPr>
          <w:p w14:paraId="2A8FF15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6F29D23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3271A83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49DEE6DE" w14:textId="77777777" w:rsidTr="005967E1">
        <w:tc>
          <w:tcPr>
            <w:tcW w:w="2454" w:type="pct"/>
            <w:shd w:val="clear" w:color="auto" w:fill="auto"/>
          </w:tcPr>
          <w:p w14:paraId="7A40915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Weet hoe je een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fastbreak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kan afstoppen</w:t>
            </w:r>
          </w:p>
        </w:tc>
        <w:tc>
          <w:tcPr>
            <w:tcW w:w="1723" w:type="pct"/>
            <w:shd w:val="clear" w:color="auto" w:fill="auto"/>
          </w:tcPr>
          <w:p w14:paraId="1A14023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0CA66CA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67A1EBC6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5ECBBCC3" w14:textId="77777777" w:rsidTr="005967E1">
        <w:tc>
          <w:tcPr>
            <w:tcW w:w="2454" w:type="pct"/>
            <w:shd w:val="clear" w:color="auto" w:fill="auto"/>
          </w:tcPr>
          <w:p w14:paraId="074BA79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een run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and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jump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defense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</w:t>
            </w:r>
          </w:p>
        </w:tc>
        <w:tc>
          <w:tcPr>
            <w:tcW w:w="1723" w:type="pct"/>
            <w:shd w:val="clear" w:color="auto" w:fill="auto"/>
          </w:tcPr>
          <w:p w14:paraId="7C6A317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10F9612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4A0FE4D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2DCBDAD0" w14:textId="77777777" w:rsidTr="005967E1">
        <w:tc>
          <w:tcPr>
            <w:tcW w:w="2454" w:type="pct"/>
            <w:shd w:val="clear" w:color="auto" w:fill="auto"/>
          </w:tcPr>
          <w:p w14:paraId="491573C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23" w:type="pct"/>
            <w:shd w:val="clear" w:color="auto" w:fill="auto"/>
          </w:tcPr>
          <w:p w14:paraId="5708A66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64" w:type="pct"/>
            <w:shd w:val="clear" w:color="auto" w:fill="auto"/>
          </w:tcPr>
          <w:p w14:paraId="01E4FEA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459" w:type="pct"/>
            <w:vMerge/>
            <w:shd w:val="clear" w:color="auto" w:fill="D9D9D9"/>
          </w:tcPr>
          <w:p w14:paraId="490A5E2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00962EB7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1C8ACB18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463"/>
        <w:gridCol w:w="731"/>
        <w:gridCol w:w="729"/>
      </w:tblGrid>
      <w:tr w:rsidR="00141C02" w:rsidRPr="00141C02" w14:paraId="18E0267A" w14:textId="77777777" w:rsidTr="005967E1">
        <w:tc>
          <w:tcPr>
            <w:tcW w:w="2502" w:type="pct"/>
            <w:shd w:val="clear" w:color="auto" w:fill="auto"/>
          </w:tcPr>
          <w:p w14:paraId="139E1C6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Beheersingscriteria </w:t>
            </w:r>
            <w:proofErr w:type="spellStart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 Man </w:t>
            </w:r>
            <w:proofErr w:type="spellStart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to</w:t>
            </w:r>
            <w:proofErr w:type="spellEnd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 Man</w:t>
            </w:r>
          </w:p>
        </w:tc>
        <w:tc>
          <w:tcPr>
            <w:tcW w:w="1757" w:type="pct"/>
            <w:shd w:val="clear" w:color="auto" w:fill="auto"/>
          </w:tcPr>
          <w:p w14:paraId="33B57C9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741" w:type="pct"/>
            <w:gridSpan w:val="2"/>
            <w:shd w:val="clear" w:color="auto" w:fill="auto"/>
          </w:tcPr>
          <w:p w14:paraId="5479A02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5901106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141C02" w:rsidRPr="00141C02" w14:paraId="79EF748B" w14:textId="77777777" w:rsidTr="005967E1">
        <w:tc>
          <w:tcPr>
            <w:tcW w:w="2502" w:type="pct"/>
            <w:shd w:val="clear" w:color="auto" w:fill="D9D9D9"/>
          </w:tcPr>
          <w:p w14:paraId="6A30D9F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: Man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to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Man</w:t>
            </w:r>
          </w:p>
        </w:tc>
        <w:tc>
          <w:tcPr>
            <w:tcW w:w="1757" w:type="pct"/>
            <w:shd w:val="clear" w:color="auto" w:fill="D9D9D9"/>
          </w:tcPr>
          <w:p w14:paraId="6F274CD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D9D9D9"/>
          </w:tcPr>
          <w:p w14:paraId="51BBF26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3250387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shd w:val="clear" w:color="auto" w:fill="auto"/>
          </w:tcPr>
          <w:p w14:paraId="4A92B9D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3294840E" w14:textId="77777777" w:rsidTr="005967E1">
        <w:tc>
          <w:tcPr>
            <w:tcW w:w="2502" w:type="pct"/>
            <w:shd w:val="clear" w:color="auto" w:fill="auto"/>
          </w:tcPr>
          <w:p w14:paraId="7256EEB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1 – 1 : Kan een aantal moves voor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guard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– forward en center beschrijven </w:t>
            </w:r>
          </w:p>
        </w:tc>
        <w:tc>
          <w:tcPr>
            <w:tcW w:w="1757" w:type="pct"/>
            <w:shd w:val="clear" w:color="auto" w:fill="auto"/>
          </w:tcPr>
          <w:p w14:paraId="0C116E0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13B7B4C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 w:val="restart"/>
            <w:shd w:val="clear" w:color="auto" w:fill="D9D9D9"/>
          </w:tcPr>
          <w:p w14:paraId="099EF7C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1CF091D" w14:textId="77777777" w:rsidTr="005967E1">
        <w:tc>
          <w:tcPr>
            <w:tcW w:w="2502" w:type="pct"/>
            <w:shd w:val="clear" w:color="auto" w:fill="auto"/>
          </w:tcPr>
          <w:p w14:paraId="069AE31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2 -2 : Kan een down – en up screen beschrijven</w:t>
            </w:r>
          </w:p>
        </w:tc>
        <w:tc>
          <w:tcPr>
            <w:tcW w:w="1757" w:type="pct"/>
            <w:shd w:val="clear" w:color="auto" w:fill="auto"/>
          </w:tcPr>
          <w:p w14:paraId="7F074A5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5BCBD8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44BFEC0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52CA978" w14:textId="77777777" w:rsidTr="005967E1">
        <w:tc>
          <w:tcPr>
            <w:tcW w:w="2502" w:type="pct"/>
            <w:shd w:val="clear" w:color="auto" w:fill="auto"/>
          </w:tcPr>
          <w:p w14:paraId="4E9D49F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2 – 2 :  kan een screen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the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screener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situatie beschrijven</w:t>
            </w:r>
          </w:p>
        </w:tc>
        <w:tc>
          <w:tcPr>
            <w:tcW w:w="1757" w:type="pct"/>
            <w:shd w:val="clear" w:color="auto" w:fill="auto"/>
          </w:tcPr>
          <w:p w14:paraId="032B7DE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68A7D8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79FDB59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65E3A682" w14:textId="77777777" w:rsidTr="005967E1">
        <w:tc>
          <w:tcPr>
            <w:tcW w:w="2502" w:type="pct"/>
            <w:shd w:val="clear" w:color="auto" w:fill="auto"/>
          </w:tcPr>
          <w:p w14:paraId="6D6E0FD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3 – 3 : Kan een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staggered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screen beschrijven </w:t>
            </w:r>
          </w:p>
        </w:tc>
        <w:tc>
          <w:tcPr>
            <w:tcW w:w="1757" w:type="pct"/>
            <w:shd w:val="clear" w:color="auto" w:fill="auto"/>
          </w:tcPr>
          <w:p w14:paraId="3263CF74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A1A6F4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232BE45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231970B1" w14:textId="77777777" w:rsidTr="005967E1">
        <w:tc>
          <w:tcPr>
            <w:tcW w:w="2502" w:type="pct"/>
            <w:shd w:val="clear" w:color="auto" w:fill="auto"/>
          </w:tcPr>
          <w:p w14:paraId="6977BF5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5 – 5 : Heeft kennis van de algemene principes van een man-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to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-man aanval</w:t>
            </w:r>
          </w:p>
        </w:tc>
        <w:tc>
          <w:tcPr>
            <w:tcW w:w="1757" w:type="pct"/>
            <w:shd w:val="clear" w:color="auto" w:fill="auto"/>
          </w:tcPr>
          <w:p w14:paraId="31F3441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5C88130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6B4DCF5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C862B35" w14:textId="77777777" w:rsidTr="005967E1">
        <w:tc>
          <w:tcPr>
            <w:tcW w:w="2502" w:type="pct"/>
            <w:shd w:val="clear" w:color="auto" w:fill="auto"/>
          </w:tcPr>
          <w:p w14:paraId="2204EF7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5 – 5 : Kan een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press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breaker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beschrijven tegen full court man -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to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– man  </w:t>
            </w:r>
          </w:p>
        </w:tc>
        <w:tc>
          <w:tcPr>
            <w:tcW w:w="1757" w:type="pct"/>
            <w:shd w:val="clear" w:color="auto" w:fill="auto"/>
          </w:tcPr>
          <w:p w14:paraId="3263BF2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7A874D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549613E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0A6056FB" w14:textId="77777777" w:rsidTr="005967E1">
        <w:tc>
          <w:tcPr>
            <w:tcW w:w="2502" w:type="pct"/>
            <w:shd w:val="clear" w:color="auto" w:fill="auto"/>
          </w:tcPr>
          <w:p w14:paraId="6234631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5 – 5 : Kan een out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bounds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play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laten zien met de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ball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op de base line</w:t>
            </w:r>
          </w:p>
        </w:tc>
        <w:tc>
          <w:tcPr>
            <w:tcW w:w="1757" w:type="pct"/>
            <w:shd w:val="clear" w:color="auto" w:fill="auto"/>
          </w:tcPr>
          <w:p w14:paraId="0ECB986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3A319E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1324EB3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32E31A2F" w14:textId="77777777" w:rsidTr="005967E1">
        <w:tc>
          <w:tcPr>
            <w:tcW w:w="2502" w:type="pct"/>
            <w:shd w:val="clear" w:color="auto" w:fill="auto"/>
          </w:tcPr>
          <w:p w14:paraId="2CF57EE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5 – 5 : Kan de Horns aanval uitleggen</w:t>
            </w:r>
          </w:p>
        </w:tc>
        <w:tc>
          <w:tcPr>
            <w:tcW w:w="1757" w:type="pct"/>
            <w:shd w:val="clear" w:color="auto" w:fill="auto"/>
          </w:tcPr>
          <w:p w14:paraId="6113163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448778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5B1E425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456E995C" w14:textId="77777777" w:rsidTr="005967E1">
        <w:tc>
          <w:tcPr>
            <w:tcW w:w="2502" w:type="pct"/>
            <w:shd w:val="clear" w:color="auto" w:fill="auto"/>
          </w:tcPr>
          <w:p w14:paraId="4D70411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5- 5 : Kan de principes van </w:t>
            </w:r>
            <w:r w:rsidRPr="00141C02">
              <w:rPr>
                <w:rFonts w:ascii="IBM Plex Mono" w:eastAsia="MS Mincho" w:hAnsi="IBM Plex Mono" w:cs="Arial"/>
                <w:i/>
                <w:sz w:val="18"/>
                <w:szCs w:val="18"/>
                <w:lang w:val="nl-NL" w:eastAsia="nl-NL"/>
              </w:rPr>
              <w:t>act en re-act</w:t>
            </w: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uitleggen </w:t>
            </w:r>
          </w:p>
        </w:tc>
        <w:tc>
          <w:tcPr>
            <w:tcW w:w="1757" w:type="pct"/>
            <w:shd w:val="clear" w:color="auto" w:fill="auto"/>
          </w:tcPr>
          <w:p w14:paraId="667EA65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23BF2E6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7864932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74484696" w14:textId="77777777" w:rsidTr="005967E1">
        <w:tc>
          <w:tcPr>
            <w:tcW w:w="2502" w:type="pct"/>
            <w:shd w:val="clear" w:color="auto" w:fill="auto"/>
          </w:tcPr>
          <w:p w14:paraId="3EFE35D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1757" w:type="pct"/>
            <w:shd w:val="clear" w:color="auto" w:fill="auto"/>
          </w:tcPr>
          <w:p w14:paraId="3965382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7B27F3F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46C7A66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72B79A1A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089FC8D1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3463"/>
        <w:gridCol w:w="731"/>
        <w:gridCol w:w="729"/>
      </w:tblGrid>
      <w:tr w:rsidR="00141C02" w:rsidRPr="00141C02" w14:paraId="7C147972" w14:textId="77777777" w:rsidTr="005967E1">
        <w:tc>
          <w:tcPr>
            <w:tcW w:w="2502" w:type="pct"/>
            <w:shd w:val="clear" w:color="auto" w:fill="auto"/>
          </w:tcPr>
          <w:p w14:paraId="74E7A6A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Beheersingscriteria </w:t>
            </w:r>
            <w:proofErr w:type="spellStart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: Zone </w:t>
            </w:r>
            <w:proofErr w:type="spellStart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141C02">
              <w:rPr>
                <w:rFonts w:ascii="IBM Plex Mono" w:eastAsia="MS Mincho" w:hAnsi="IBM Plex Mono" w:cs="Arial"/>
                <w:b/>
                <w:sz w:val="18"/>
                <w:szCs w:val="18"/>
                <w:lang w:val="nl-NL" w:eastAsia="nl-NL"/>
              </w:rPr>
              <w:t xml:space="preserve"> </w:t>
            </w:r>
          </w:p>
        </w:tc>
        <w:tc>
          <w:tcPr>
            <w:tcW w:w="1757" w:type="pct"/>
            <w:shd w:val="clear" w:color="auto" w:fill="auto"/>
          </w:tcPr>
          <w:p w14:paraId="75F165B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Opmerkingen </w:t>
            </w:r>
          </w:p>
        </w:tc>
        <w:tc>
          <w:tcPr>
            <w:tcW w:w="741" w:type="pct"/>
            <w:gridSpan w:val="2"/>
            <w:shd w:val="clear" w:color="auto" w:fill="auto"/>
          </w:tcPr>
          <w:p w14:paraId="48D88396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</w:t>
            </w:r>
          </w:p>
          <w:p w14:paraId="353CE47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JA of NEE</w:t>
            </w:r>
          </w:p>
        </w:tc>
      </w:tr>
      <w:tr w:rsidR="00141C02" w:rsidRPr="00141C02" w14:paraId="590D68D2" w14:textId="77777777" w:rsidTr="005967E1">
        <w:tc>
          <w:tcPr>
            <w:tcW w:w="2502" w:type="pct"/>
            <w:shd w:val="clear" w:color="auto" w:fill="D9D9D9"/>
          </w:tcPr>
          <w:p w14:paraId="388405A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Het resultaat van de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: Zone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</w:p>
        </w:tc>
        <w:tc>
          <w:tcPr>
            <w:tcW w:w="1757" w:type="pct"/>
            <w:shd w:val="clear" w:color="auto" w:fill="D9D9D9"/>
          </w:tcPr>
          <w:p w14:paraId="3BDA69A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D9D9D9"/>
          </w:tcPr>
          <w:p w14:paraId="45151C04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55E09D3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shd w:val="clear" w:color="auto" w:fill="auto"/>
          </w:tcPr>
          <w:p w14:paraId="24FB558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797C37A" w14:textId="77777777" w:rsidTr="005967E1">
        <w:tc>
          <w:tcPr>
            <w:tcW w:w="2502" w:type="pct"/>
            <w:shd w:val="clear" w:color="auto" w:fill="auto"/>
          </w:tcPr>
          <w:p w14:paraId="727B2A63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Geeft uitleg over welke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offense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hij met zijn team tegen een zone speelt</w:t>
            </w:r>
          </w:p>
        </w:tc>
        <w:tc>
          <w:tcPr>
            <w:tcW w:w="1757" w:type="pct"/>
            <w:shd w:val="clear" w:color="auto" w:fill="auto"/>
          </w:tcPr>
          <w:p w14:paraId="7A15F998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815302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 w:val="restart"/>
            <w:shd w:val="clear" w:color="auto" w:fill="D9D9D9"/>
          </w:tcPr>
          <w:p w14:paraId="1FE4623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685D6F07" w14:textId="77777777" w:rsidTr="005967E1">
        <w:tc>
          <w:tcPr>
            <w:tcW w:w="2502" w:type="pct"/>
            <w:shd w:val="clear" w:color="auto" w:fill="auto"/>
          </w:tcPr>
          <w:p w14:paraId="3432D25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Kan de principes van de aanval tegen een zone verklaren</w:t>
            </w:r>
          </w:p>
        </w:tc>
        <w:tc>
          <w:tcPr>
            <w:tcW w:w="1757" w:type="pct"/>
            <w:shd w:val="clear" w:color="auto" w:fill="auto"/>
          </w:tcPr>
          <w:p w14:paraId="1CBC6E8F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03EA2FB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4A34D85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4B59770" w14:textId="77777777" w:rsidTr="005967E1">
        <w:tc>
          <w:tcPr>
            <w:tcW w:w="2502" w:type="pct"/>
            <w:shd w:val="clear" w:color="auto" w:fill="auto"/>
          </w:tcPr>
          <w:p w14:paraId="63795A6C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het verschil uitleggen tussen een zone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press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en pressing zone</w:t>
            </w:r>
          </w:p>
        </w:tc>
        <w:tc>
          <w:tcPr>
            <w:tcW w:w="1757" w:type="pct"/>
            <w:shd w:val="clear" w:color="auto" w:fill="auto"/>
          </w:tcPr>
          <w:p w14:paraId="418EDD3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20CA5E9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0E9C13F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52BAC72F" w14:textId="77777777" w:rsidTr="005967E1">
        <w:tc>
          <w:tcPr>
            <w:tcW w:w="2502" w:type="pct"/>
            <w:shd w:val="clear" w:color="auto" w:fill="auto"/>
          </w:tcPr>
          <w:p w14:paraId="157F4E7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Kan een uitleggen wat hij speelt tegen een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boxe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and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one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 xml:space="preserve"> zone verdediging </w:t>
            </w:r>
          </w:p>
        </w:tc>
        <w:tc>
          <w:tcPr>
            <w:tcW w:w="1757" w:type="pct"/>
            <w:shd w:val="clear" w:color="auto" w:fill="auto"/>
          </w:tcPr>
          <w:p w14:paraId="4FF246E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1C98038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0ECC67E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01C22D0A" w14:textId="77777777" w:rsidTr="005967E1">
        <w:tc>
          <w:tcPr>
            <w:tcW w:w="2502" w:type="pct"/>
            <w:shd w:val="clear" w:color="auto" w:fill="auto"/>
          </w:tcPr>
          <w:p w14:paraId="62782DBD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  <w:t xml:space="preserve">Kan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  <w:t>verklaren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  <w:t>waarom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  <w:t xml:space="preserve"> </w:t>
            </w:r>
            <w:proofErr w:type="spellStart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  <w:t>een</w:t>
            </w:r>
            <w:proofErr w:type="spellEnd"/>
            <w:r w:rsidRPr="00141C02"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  <w:t xml:space="preserve"> jump stop “</w:t>
            </w:r>
            <w:r w:rsidRPr="00141C02">
              <w:rPr>
                <w:rFonts w:ascii="IBM Plex Mono" w:eastAsia="MS Mincho" w:hAnsi="IBM Plex Mono" w:cs="Arial"/>
                <w:i/>
                <w:sz w:val="18"/>
                <w:szCs w:val="18"/>
                <w:lang w:val="en-GB" w:eastAsia="nl-NL"/>
              </w:rPr>
              <w:t>a great move is when penetrating in the middle”</w:t>
            </w:r>
          </w:p>
        </w:tc>
        <w:tc>
          <w:tcPr>
            <w:tcW w:w="1757" w:type="pct"/>
            <w:shd w:val="clear" w:color="auto" w:fill="auto"/>
          </w:tcPr>
          <w:p w14:paraId="377F996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352DEEC6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3E2DE54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</w:p>
        </w:tc>
      </w:tr>
      <w:tr w:rsidR="00141C02" w:rsidRPr="00141C02" w14:paraId="66597CA7" w14:textId="77777777" w:rsidTr="005967E1">
        <w:tc>
          <w:tcPr>
            <w:tcW w:w="2502" w:type="pct"/>
            <w:shd w:val="clear" w:color="auto" w:fill="auto"/>
          </w:tcPr>
          <w:p w14:paraId="1146945B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757" w:type="pct"/>
            <w:shd w:val="clear" w:color="auto" w:fill="auto"/>
          </w:tcPr>
          <w:p w14:paraId="5BB6119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71" w:type="pct"/>
            <w:shd w:val="clear" w:color="auto" w:fill="auto"/>
          </w:tcPr>
          <w:p w14:paraId="72CED1D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70" w:type="pct"/>
            <w:vMerge/>
            <w:shd w:val="clear" w:color="auto" w:fill="D9D9D9"/>
          </w:tcPr>
          <w:p w14:paraId="0354C6C1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en-GB" w:eastAsia="nl-NL"/>
              </w:rPr>
            </w:pPr>
          </w:p>
        </w:tc>
      </w:tr>
    </w:tbl>
    <w:p w14:paraId="121008C3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en-GB" w:eastAsia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719"/>
      </w:tblGrid>
      <w:tr w:rsidR="00141C02" w:rsidRPr="00141C02" w14:paraId="2E13A206" w14:textId="77777777" w:rsidTr="005967E1">
        <w:tc>
          <w:tcPr>
            <w:tcW w:w="9322" w:type="dxa"/>
            <w:gridSpan w:val="2"/>
            <w:shd w:val="clear" w:color="auto" w:fill="D9D9D9"/>
          </w:tcPr>
          <w:p w14:paraId="0C2CCF26" w14:textId="77777777" w:rsidR="00141C02" w:rsidRPr="00141C02" w:rsidRDefault="00141C02" w:rsidP="00141C02">
            <w:pPr>
              <w:spacing w:after="0" w:line="240" w:lineRule="auto"/>
              <w:jc w:val="center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Resultaat van het portfoliogesprek BT 3</w:t>
            </w:r>
          </w:p>
        </w:tc>
      </w:tr>
      <w:tr w:rsidR="00141C02" w:rsidRPr="00141C02" w14:paraId="001E0B32" w14:textId="77777777" w:rsidTr="005967E1">
        <w:tc>
          <w:tcPr>
            <w:tcW w:w="9322" w:type="dxa"/>
            <w:gridSpan w:val="2"/>
            <w:shd w:val="clear" w:color="auto" w:fill="auto"/>
          </w:tcPr>
          <w:p w14:paraId="423B8304" w14:textId="77777777" w:rsidR="00141C02" w:rsidRPr="00141C02" w:rsidRDefault="00141C02" w:rsidP="00141C02">
            <w:pPr>
              <w:spacing w:after="0" w:line="240" w:lineRule="auto"/>
              <w:jc w:val="center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Voldaan /  onvoldoende</w:t>
            </w:r>
          </w:p>
        </w:tc>
      </w:tr>
      <w:tr w:rsidR="00141C02" w:rsidRPr="00141C02" w14:paraId="6B45F773" w14:textId="77777777" w:rsidTr="005967E1">
        <w:tc>
          <w:tcPr>
            <w:tcW w:w="9322" w:type="dxa"/>
            <w:gridSpan w:val="2"/>
            <w:shd w:val="clear" w:color="auto" w:fill="D9D9D9"/>
          </w:tcPr>
          <w:p w14:paraId="1BA02F5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  <w:tr w:rsidR="00141C02" w:rsidRPr="00141C02" w14:paraId="1411E02E" w14:textId="77777777" w:rsidTr="005967E1">
        <w:trPr>
          <w:trHeight w:val="672"/>
        </w:trPr>
        <w:tc>
          <w:tcPr>
            <w:tcW w:w="4603" w:type="dxa"/>
            <w:shd w:val="clear" w:color="auto" w:fill="auto"/>
          </w:tcPr>
          <w:p w14:paraId="7632D7E2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Handtekening afnemer reflectiegesprek</w:t>
            </w:r>
          </w:p>
        </w:tc>
        <w:tc>
          <w:tcPr>
            <w:tcW w:w="4719" w:type="dxa"/>
            <w:shd w:val="clear" w:color="auto" w:fill="auto"/>
          </w:tcPr>
          <w:p w14:paraId="1790E287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  <w:r w:rsidRPr="00141C02"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  <w:t>Toelichting</w:t>
            </w:r>
          </w:p>
          <w:p w14:paraId="2C4F1E66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724E0239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35B83660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770AC97A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73E04DE5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7F193EB4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  <w:p w14:paraId="06876A9E" w14:textId="77777777" w:rsidR="00141C02" w:rsidRPr="00141C02" w:rsidRDefault="00141C02" w:rsidP="00141C02">
            <w:pPr>
              <w:spacing w:after="0" w:line="240" w:lineRule="auto"/>
              <w:rPr>
                <w:rFonts w:ascii="IBM Plex Mono" w:eastAsia="MS Mincho" w:hAnsi="IBM Plex Mono" w:cs="Arial"/>
                <w:sz w:val="18"/>
                <w:szCs w:val="18"/>
                <w:lang w:val="nl-NL" w:eastAsia="nl-NL"/>
              </w:rPr>
            </w:pPr>
          </w:p>
        </w:tc>
      </w:tr>
    </w:tbl>
    <w:p w14:paraId="0CD201B5" w14:textId="77777777" w:rsidR="00141C02" w:rsidRPr="00141C02" w:rsidRDefault="00141C02" w:rsidP="00141C02">
      <w:pPr>
        <w:spacing w:after="0" w:line="240" w:lineRule="auto"/>
        <w:rPr>
          <w:rFonts w:ascii="IBM Plex Mono" w:eastAsia="MS Mincho" w:hAnsi="IBM Plex Mono" w:cs="Arial"/>
          <w:sz w:val="18"/>
          <w:szCs w:val="18"/>
          <w:lang w:val="nl-NL" w:eastAsia="nl-NL"/>
        </w:rPr>
      </w:pPr>
    </w:p>
    <w:p w14:paraId="5C8D5B58" w14:textId="77777777" w:rsidR="00141C02" w:rsidRPr="00141C02" w:rsidRDefault="00141C02" w:rsidP="00141C02">
      <w:bookmarkStart w:id="0" w:name="_GoBack"/>
      <w:bookmarkEnd w:id="0"/>
    </w:p>
    <w:sectPr w:rsidR="00141C02" w:rsidRPr="00141C02">
      <w:footerReference w:type="default" r:id="rId11"/>
      <w:headerReference w:type="first" r:id="rId12"/>
      <w:pgSz w:w="11906" w:h="16838"/>
      <w:pgMar w:top="1134" w:right="1134" w:bottom="1134" w:left="1134" w:header="567" w:footer="45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5F91" w14:textId="77777777" w:rsidR="00BA47F5" w:rsidRDefault="00BA47F5">
      <w:pPr>
        <w:spacing w:after="0" w:line="240" w:lineRule="auto"/>
      </w:pPr>
      <w:r>
        <w:separator/>
      </w:r>
    </w:p>
  </w:endnote>
  <w:endnote w:type="continuationSeparator" w:id="0">
    <w:p w14:paraId="41D9E2FB" w14:textId="77777777" w:rsidR="00BA47F5" w:rsidRDefault="00B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Mono Light">
    <w:panose1 w:val="020B04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C14" w14:textId="0FD015B5" w:rsidR="00285A7C" w:rsidRDefault="00141C02">
    <w:pPr>
      <w:pStyle w:val="Voettekst"/>
      <w:jc w:val="center"/>
      <w:rPr>
        <w:sz w:val="18"/>
        <w:szCs w:val="18"/>
        <w:lang w:val="nl-NL"/>
      </w:rPr>
    </w:pPr>
    <w:r>
      <w:rPr>
        <w:noProof/>
      </w:rPr>
      <w:pict w14:anchorId="59B1A9E8">
        <v:rect id="Rechthoek 1" o:spid="_x0000_s2049" style="position:absolute;left:0;text-align:left;margin-left:61.95pt;margin-top:.05pt;width:60.05pt;height:70.55pt;z-index:-251658240;visibility:visible;mso-wrap-style:square;mso-wrap-distance-left:0;mso-wrap-distance-top:0;mso-wrap-distance-right:0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" stroked="f">
          <v:textbox>
            <w:txbxContent>
              <w:p w14:paraId="3DD71F92" w14:textId="77777777" w:rsidR="00285A7C" w:rsidRDefault="00141C02">
                <w:pPr>
                  <w:pStyle w:val="Frame-inhoud"/>
                  <w:jc w:val="center"/>
                </w:pPr>
                <w:sdt>
                  <w:sdtPr>
                    <w:id w:val="1594755465"/>
                  </w:sdtPr>
                  <w:sdtEndPr/>
                  <w:sdtContent>
                    <w:r w:rsidR="005B48E1">
                      <w:rPr>
                        <w:rFonts w:ascii="Norwester" w:eastAsiaTheme="majorEastAsia" w:hAnsi="Norwester" w:cstheme="majorBidi"/>
                        <w:color w:val="FA4A00"/>
                        <w:sz w:val="48"/>
                        <w:szCs w:val="48"/>
                      </w:rPr>
                      <w:fldChar w:fldCharType="begin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instrText>PAGE</w:instrTex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separate"/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t>6</w:t>
                    </w:r>
                    <w:r w:rsidR="005B48E1">
                      <w:rPr>
                        <w:rFonts w:ascii="Norwester" w:hAnsi="Norwester"/>
                        <w:sz w:val="48"/>
                        <w:szCs w:val="48"/>
                      </w:rPr>
                      <w:fldChar w:fldCharType="end"/>
                    </w:r>
                  </w:sdtContent>
                </w:sdt>
              </w:p>
            </w:txbxContent>
          </v:textbox>
          <w10:wrap anchorx="page"/>
        </v:rect>
      </w:pict>
    </w:r>
    <w:r w:rsidR="005B48E1">
      <w:rPr>
        <w:sz w:val="18"/>
        <w:szCs w:val="18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F33A" w14:textId="77777777" w:rsidR="00BA47F5" w:rsidRDefault="00BA47F5">
      <w:pPr>
        <w:spacing w:after="0" w:line="240" w:lineRule="auto"/>
      </w:pPr>
      <w:r>
        <w:separator/>
      </w:r>
    </w:p>
  </w:footnote>
  <w:footnote w:type="continuationSeparator" w:id="0">
    <w:p w14:paraId="099B11FC" w14:textId="77777777" w:rsidR="00BA47F5" w:rsidRDefault="00B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E5A" w14:textId="77777777" w:rsidR="00285A7C" w:rsidRDefault="005B48E1">
    <w:pPr>
      <w:pStyle w:val="Koptekst"/>
    </w:pPr>
    <w:r>
      <w:rPr>
        <w:noProof/>
      </w:rPr>
      <w:drawing>
        <wp:anchor distT="0" distB="0" distL="0" distR="0" simplePos="0" relativeHeight="251657216" behindDoc="1" locked="0" layoutInCell="1" allowOverlap="1" wp14:anchorId="48F841ED" wp14:editId="77060A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275" cy="10648950"/>
          <wp:effectExtent l="0" t="0" r="0" b="0"/>
          <wp:wrapNone/>
          <wp:docPr id="1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0CE"/>
    <w:multiLevelType w:val="multilevel"/>
    <w:tmpl w:val="425E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385AAA"/>
    <w:multiLevelType w:val="multilevel"/>
    <w:tmpl w:val="F412FBCE"/>
    <w:lvl w:ilvl="0">
      <w:start w:val="1"/>
      <w:numFmt w:val="bullet"/>
      <w:lvlText w:val="&gt;"/>
      <w:lvlJc w:val="left"/>
      <w:pPr>
        <w:ind w:left="360" w:hanging="360"/>
      </w:pPr>
      <w:rPr>
        <w:rFonts w:ascii="IBM Plex Mono" w:hAnsi="IBM Plex Mono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7ED7"/>
    <w:multiLevelType w:val="multilevel"/>
    <w:tmpl w:val="8B4C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1FE"/>
    <w:multiLevelType w:val="multilevel"/>
    <w:tmpl w:val="5C1046D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47497AEA"/>
    <w:multiLevelType w:val="multilevel"/>
    <w:tmpl w:val="8330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C83A69"/>
    <w:multiLevelType w:val="multilevel"/>
    <w:tmpl w:val="A59A9FB0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7150F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C55E8E"/>
    <w:multiLevelType w:val="hybridMultilevel"/>
    <w:tmpl w:val="6276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5260"/>
    <w:multiLevelType w:val="multilevel"/>
    <w:tmpl w:val="05C4A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177B6"/>
    <w:multiLevelType w:val="multilevel"/>
    <w:tmpl w:val="AE964EA6"/>
    <w:lvl w:ilvl="0">
      <w:start w:val="1"/>
      <w:numFmt w:val="decimal"/>
      <w:pStyle w:val="Kop2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Kop3"/>
      <w:lvlText w:val="%1.%3."/>
      <w:lvlJc w:val="left"/>
      <w:pPr>
        <w:ind w:left="1224" w:hanging="504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674553"/>
    <w:multiLevelType w:val="hybridMultilevel"/>
    <w:tmpl w:val="6E5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C049BF"/>
    <w:multiLevelType w:val="hybridMultilevel"/>
    <w:tmpl w:val="6742DBC4"/>
    <w:lvl w:ilvl="0" w:tplc="C9C2B2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A7C"/>
    <w:rsid w:val="0008716F"/>
    <w:rsid w:val="001156B7"/>
    <w:rsid w:val="00141C02"/>
    <w:rsid w:val="001E4AFE"/>
    <w:rsid w:val="00285A7C"/>
    <w:rsid w:val="002B0E4E"/>
    <w:rsid w:val="004E3B74"/>
    <w:rsid w:val="005B48E1"/>
    <w:rsid w:val="00835B96"/>
    <w:rsid w:val="008E4308"/>
    <w:rsid w:val="00984553"/>
    <w:rsid w:val="00A86C82"/>
    <w:rsid w:val="00AC7A37"/>
    <w:rsid w:val="00BA47F5"/>
    <w:rsid w:val="00CC6279"/>
    <w:rsid w:val="00D15679"/>
    <w:rsid w:val="00DE2DA6"/>
    <w:rsid w:val="00E6333D"/>
    <w:rsid w:val="00E81308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E30628"/>
  <w15:docId w15:val="{710C98CF-3FC7-4EA5-9437-545B397C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09"/>
    <w:pPr>
      <w:spacing w:after="200" w:line="276" w:lineRule="auto"/>
    </w:pPr>
    <w:rPr>
      <w:lang w:val="en-US"/>
    </w:rPr>
  </w:style>
  <w:style w:type="paragraph" w:styleId="Kop1">
    <w:name w:val="heading 1"/>
    <w:basedOn w:val="Kop"/>
    <w:next w:val="Standaard"/>
    <w:link w:val="Kop1Char"/>
    <w:uiPriority w:val="9"/>
    <w:qFormat/>
    <w:rsid w:val="00B8636E"/>
    <w:p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Kop2">
    <w:name w:val="heading 2"/>
    <w:basedOn w:val="Kop3"/>
    <w:next w:val="Standaard"/>
    <w:link w:val="Kop2Char"/>
    <w:autoRedefine/>
    <w:uiPriority w:val="9"/>
    <w:unhideWhenUsed/>
    <w:qFormat/>
    <w:rsid w:val="003C59EA"/>
    <w:pPr>
      <w:numPr>
        <w:ilvl w:val="0"/>
      </w:numPr>
      <w:outlineLvl w:val="1"/>
    </w:pPr>
    <w:rPr>
      <w:color w:val="FA4A00"/>
      <w:sz w:val="28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636E"/>
    <w:pPr>
      <w:keepNext/>
      <w:keepLines/>
      <w:numPr>
        <w:ilvl w:val="2"/>
        <w:numId w:val="1"/>
      </w:numPr>
      <w:spacing w:before="40" w:after="0"/>
      <w:ind w:left="851" w:hanging="851"/>
      <w:outlineLvl w:val="2"/>
    </w:pPr>
    <w:rPr>
      <w:rFonts w:ascii="Norwester" w:eastAsiaTheme="majorEastAsia" w:hAnsi="Norwester" w:cstheme="majorBidi"/>
      <w:caps/>
      <w:color w:val="000033"/>
      <w:spacing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8E4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1069C"/>
  </w:style>
  <w:style w:type="character" w:customStyle="1" w:styleId="VoettekstChar">
    <w:name w:val="Voettekst Char"/>
    <w:basedOn w:val="Standaardalinea-lettertype"/>
    <w:link w:val="Voettekst"/>
    <w:qFormat/>
    <w:rsid w:val="00D1069C"/>
  </w:style>
  <w:style w:type="character" w:customStyle="1" w:styleId="Kop1Char">
    <w:name w:val="Kop 1 Char"/>
    <w:basedOn w:val="Standaardalinea-lettertype"/>
    <w:link w:val="Kop1"/>
    <w:uiPriority w:val="9"/>
    <w:qFormat/>
    <w:rsid w:val="00B8636E"/>
    <w:rPr>
      <w:rFonts w:ascii="Norwester" w:hAnsi="Norwester"/>
      <w:caps/>
      <w:color w:val="000033"/>
      <w:spacing w:val="36"/>
      <w:sz w:val="36"/>
      <w:szCs w:val="56"/>
      <w:lang w:val="en-US"/>
    </w:rPr>
  </w:style>
  <w:style w:type="character" w:customStyle="1" w:styleId="BasketballNederlandChar">
    <w:name w:val="Basketball Nederland Char"/>
    <w:basedOn w:val="Standaardalinea-lettertype"/>
    <w:link w:val="BasketballNederland"/>
    <w:qFormat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3C59EA"/>
    <w:rPr>
      <w:rFonts w:ascii="Norwester" w:eastAsiaTheme="majorEastAsia" w:hAnsi="Norwester" w:cstheme="majorBidi"/>
      <w:caps/>
      <w:color w:val="FA4A00"/>
      <w:spacing w:val="30"/>
      <w:sz w:val="28"/>
      <w:szCs w:val="36"/>
      <w:lang w:val="en-US"/>
    </w:rPr>
  </w:style>
  <w:style w:type="character" w:customStyle="1" w:styleId="KopChar">
    <w:name w:val="Kop Char"/>
    <w:basedOn w:val="BasketballNederlandChar"/>
    <w:link w:val="Kop"/>
    <w:qFormat/>
    <w:rsid w:val="003A145E"/>
    <w:rPr>
      <w:rFonts w:ascii="Norwester" w:hAnsi="Norwester"/>
      <w:caps/>
      <w:color w:val="000033"/>
      <w:sz w:val="56"/>
      <w:szCs w:val="56"/>
      <w:shd w:val="clear" w:color="auto" w:fill="000033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B8636E"/>
    <w:rPr>
      <w:rFonts w:ascii="Norwester" w:eastAsiaTheme="majorEastAsia" w:hAnsi="Norwester" w:cstheme="majorBidi"/>
      <w:caps/>
      <w:color w:val="000033"/>
      <w:spacing w:val="30"/>
    </w:rPr>
  </w:style>
  <w:style w:type="character" w:customStyle="1" w:styleId="TitelChar">
    <w:name w:val="Titel Char"/>
    <w:basedOn w:val="Standaardalinea-lettertype"/>
    <w:link w:val="Titel"/>
    <w:uiPriority w:val="10"/>
    <w:qFormat/>
    <w:rsid w:val="00A92F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character" w:customStyle="1" w:styleId="DocumenttitelChar">
    <w:name w:val="Documenttitel Char"/>
    <w:basedOn w:val="Standaardalinea-lettertype"/>
    <w:link w:val="Documenttitel"/>
    <w:qFormat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sid w:val="00765C9D"/>
    <w:rPr>
      <w:rFonts w:ascii="Norwester" w:eastAsiaTheme="majorEastAsia" w:hAnsi="Norwester" w:cstheme="majorBidi"/>
      <w:caps/>
      <w:color w:val="000033"/>
      <w:spacing w:val="30"/>
    </w:rPr>
  </w:style>
  <w:style w:type="character" w:styleId="Subtielebenadrukking">
    <w:name w:val="Subtle Emphasis"/>
    <w:basedOn w:val="Standaardalinea-lettertype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ieleverwijzing">
    <w:name w:val="Subtle Reference"/>
    <w:basedOn w:val="Standaardalinea-lettertype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ieveverwijzing">
    <w:name w:val="Intense Reference"/>
    <w:basedOn w:val="Standaardalinea-lettertype"/>
    <w:uiPriority w:val="32"/>
    <w:qFormat/>
    <w:rsid w:val="008B5C31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8B5C31"/>
    <w:rPr>
      <w:rFonts w:ascii="IBM Plex Mono Light" w:hAnsi="IBM Plex Mono Light"/>
      <w:b/>
      <w:bCs/>
      <w:i/>
      <w:iCs/>
      <w:spacing w:val="5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A70CDE"/>
    <w:rPr>
      <w:rFonts w:ascii="IBM Plex Mono Light" w:hAnsi="IBM Plex Mono Light"/>
      <w:sz w:val="20"/>
    </w:rPr>
  </w:style>
  <w:style w:type="character" w:customStyle="1" w:styleId="OpsommingChar">
    <w:name w:val="Opsomming Char"/>
    <w:basedOn w:val="LijstalineaChar"/>
    <w:link w:val="Opsomming"/>
    <w:qFormat/>
    <w:rsid w:val="002307BA"/>
    <w:rPr>
      <w:rFonts w:ascii="IBM Plex Mono" w:hAnsi="IBM Plex Mono"/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377E2F"/>
    <w:rPr>
      <w:rFonts w:ascii="IBM Plex Mono Light" w:hAnsi="IBM Plex Mono Light"/>
      <w:sz w:val="20"/>
    </w:rPr>
  </w:style>
  <w:style w:type="character" w:customStyle="1" w:styleId="Internetkoppeling">
    <w:name w:val="Internetkoppeling"/>
    <w:basedOn w:val="Standaardalinea-lettertype"/>
    <w:uiPriority w:val="99"/>
    <w:unhideWhenUsed/>
    <w:rsid w:val="00181938"/>
    <w:rPr>
      <w:color w:val="0563C1" w:themeColor="hyperlink"/>
      <w:u w:val="single"/>
    </w:rPr>
  </w:style>
  <w:style w:type="character" w:customStyle="1" w:styleId="TabelChar">
    <w:name w:val="Tabel Char"/>
    <w:basedOn w:val="Standaardalinea-lettertype"/>
    <w:link w:val="Tabel"/>
    <w:qFormat/>
    <w:rsid w:val="002655E2"/>
    <w:rPr>
      <w:rFonts w:ascii="IBM Plex Mono" w:hAnsi="IBM Plex Mono"/>
      <w:sz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63144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qFormat/>
    <w:rsid w:val="00C52ECF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AE45F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68582B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68582B"/>
    <w:rPr>
      <w:rFonts w:ascii="IBM Plex Mono" w:hAnsi="IBM Plex Mono"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68582B"/>
    <w:rPr>
      <w:rFonts w:ascii="IBM Plex Mono" w:hAnsi="IBM Plex Mono"/>
      <w:b/>
      <w:bCs/>
      <w:sz w:val="20"/>
      <w:szCs w:val="20"/>
    </w:rPr>
  </w:style>
  <w:style w:type="character" w:customStyle="1" w:styleId="ProcedureChar">
    <w:name w:val="Procedure Char"/>
    <w:basedOn w:val="OpsommingChar"/>
    <w:link w:val="Procedure"/>
    <w:qFormat/>
    <w:rsid w:val="009943F5"/>
    <w:rPr>
      <w:rFonts w:ascii="IBM Plex Mono" w:hAnsi="IBM Plex Mono"/>
      <w:sz w:val="20"/>
    </w:rPr>
  </w:style>
  <w:style w:type="character" w:customStyle="1" w:styleId="normaltextrun">
    <w:name w:val="normaltextrun"/>
    <w:basedOn w:val="Standaardalinea-lettertype"/>
    <w:qFormat/>
    <w:rsid w:val="003823E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Symbo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IBM Plex Mono" w:hAnsi="IBM Plex Mono" w:cs="Symbol"/>
      <w:sz w:val="1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Kop">
    <w:name w:val="Kop"/>
    <w:basedOn w:val="BasketballNederland"/>
    <w:next w:val="Plattetekst"/>
    <w:link w:val="KopChar"/>
    <w:qFormat/>
    <w:rsid w:val="003A145E"/>
    <w:pPr>
      <w:shd w:val="clear" w:color="auto" w:fill="auto"/>
    </w:pPr>
    <w:rPr>
      <w:caps/>
      <w:color w:val="000033"/>
      <w:u w:val="single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Koptekst">
    <w:name w:val="header"/>
    <w:basedOn w:val="Standaard"/>
    <w:link w:val="Koptekst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paragraph" w:styleId="Geenafstand">
    <w:name w:val="No Spacing"/>
    <w:link w:val="GeenafstandChar"/>
    <w:uiPriority w:val="1"/>
    <w:qFormat/>
    <w:rsid w:val="00555A1A"/>
    <w:rPr>
      <w:rFonts w:ascii="IBM Plex Mono Light" w:hAnsi="IBM Plex Mono Light"/>
      <w:sz w:val="20"/>
    </w:rPr>
  </w:style>
  <w:style w:type="paragraph" w:customStyle="1" w:styleId="BasketballNederland">
    <w:name w:val="Basketball Nederland"/>
    <w:basedOn w:val="Standaard"/>
    <w:link w:val="BasketballNederlandChar"/>
    <w:qFormat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rsid w:val="00A92F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itaat">
    <w:name w:val="Quote"/>
    <w:basedOn w:val="Standaard"/>
    <w:next w:val="Standaard"/>
    <w:link w:val="CitaatChar"/>
    <w:uiPriority w:val="29"/>
    <w:qFormat/>
    <w:rsid w:val="001874B9"/>
    <w:pPr>
      <w:jc w:val="center"/>
    </w:pPr>
    <w:rPr>
      <w:i/>
      <w:color w:val="FA4A00"/>
      <w:szCs w:val="24"/>
    </w:rPr>
  </w:style>
  <w:style w:type="paragraph" w:customStyle="1" w:styleId="Documenttitel">
    <w:name w:val="Documenttitel"/>
    <w:basedOn w:val="Standaard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Ondertitel">
    <w:name w:val="Subtitle"/>
    <w:basedOn w:val="Kop3"/>
    <w:next w:val="Standaard"/>
    <w:link w:val="OndertitelChar"/>
    <w:uiPriority w:val="11"/>
    <w:qFormat/>
    <w:rsid w:val="00765C9D"/>
    <w:pPr>
      <w:numPr>
        <w:ilvl w:val="0"/>
        <w:numId w:val="0"/>
      </w:numPr>
      <w:ind w:left="851" w:hanging="851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2224"/>
    <w:pPr>
      <w:pBdr>
        <w:top w:val="single" w:sz="4" w:space="10" w:color="000033"/>
        <w:bottom w:val="single" w:sz="4" w:space="10" w:color="000033"/>
      </w:pBdr>
      <w:spacing w:before="360" w:after="360"/>
      <w:ind w:left="864" w:right="864"/>
      <w:jc w:val="center"/>
    </w:pPr>
    <w:rPr>
      <w:i/>
      <w:iCs/>
      <w:color w:val="FA4A00"/>
    </w:rPr>
  </w:style>
  <w:style w:type="paragraph" w:styleId="Lijstalinea">
    <w:name w:val="List Paragraph"/>
    <w:basedOn w:val="Standaard"/>
    <w:link w:val="LijstalineaChar"/>
    <w:uiPriority w:val="34"/>
    <w:qFormat/>
    <w:rsid w:val="008B5C3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qFormat/>
    <w:rsid w:val="002307BA"/>
  </w:style>
  <w:style w:type="paragraph" w:styleId="Inhopg3">
    <w:name w:val="toc 3"/>
    <w:basedOn w:val="Standaard"/>
    <w:next w:val="Standaard"/>
    <w:autoRedefine/>
    <w:uiPriority w:val="39"/>
    <w:unhideWhenUsed/>
    <w:rsid w:val="00181938"/>
    <w:pPr>
      <w:spacing w:after="100"/>
      <w:ind w:left="400"/>
    </w:pPr>
  </w:style>
  <w:style w:type="paragraph" w:styleId="Inhopg1">
    <w:name w:val="toc 1"/>
    <w:basedOn w:val="Standaard"/>
    <w:next w:val="Standaard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81938"/>
    <w:pPr>
      <w:spacing w:after="100"/>
      <w:ind w:left="2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F569D"/>
    <w:pPr>
      <w:keepNext/>
      <w:keepLines/>
      <w:spacing w:before="240" w:after="0"/>
    </w:pPr>
    <w:rPr>
      <w:rFonts w:eastAsiaTheme="majorEastAsia" w:cstheme="majorBidi"/>
      <w:caps w:val="0"/>
      <w:spacing w:val="0"/>
      <w:szCs w:val="32"/>
      <w:lang w:eastAsia="nl-NL"/>
    </w:rPr>
  </w:style>
  <w:style w:type="paragraph" w:customStyle="1" w:styleId="Tabel">
    <w:name w:val="Tabel"/>
    <w:basedOn w:val="Standaard"/>
    <w:link w:val="TabelChar"/>
    <w:qFormat/>
    <w:rsid w:val="002655E2"/>
    <w:pPr>
      <w:spacing w:before="20" w:after="20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68582B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68582B"/>
    <w:rPr>
      <w:b/>
      <w:bCs/>
    </w:rPr>
  </w:style>
  <w:style w:type="paragraph" w:customStyle="1" w:styleId="Procedure">
    <w:name w:val="Procedure"/>
    <w:basedOn w:val="Opsomming"/>
    <w:link w:val="ProcedureChar"/>
    <w:qFormat/>
    <w:rsid w:val="009943F5"/>
    <w:pPr>
      <w:pBdr>
        <w:left w:val="single" w:sz="8" w:space="4" w:color="FA4A00"/>
      </w:pBdr>
    </w:pPr>
  </w:style>
  <w:style w:type="paragraph" w:customStyle="1" w:styleId="paragraph">
    <w:name w:val="paragraph"/>
    <w:basedOn w:val="Standaard"/>
    <w:qFormat/>
    <w:rsid w:val="003823EE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Opsomming0">
    <w:name w:val="_Opsomming"/>
    <w:qFormat/>
    <w:rsid w:val="00776E09"/>
    <w:rPr>
      <w:rFonts w:ascii="Arial" w:eastAsia="Calibri" w:hAnsi="Arial"/>
      <w:color w:val="000000" w:themeColor="text1"/>
      <w:sz w:val="17"/>
      <w:lang w:val="en-US"/>
    </w:rPr>
  </w:style>
  <w:style w:type="paragraph" w:customStyle="1" w:styleId="Frame-inhoud">
    <w:name w:val="Frame-inhoud"/>
    <w:basedOn w:val="Standaard"/>
    <w:qFormat/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DocumentMap">
    <w:name w:val="DocumentMap"/>
    <w:qFormat/>
    <w:pPr>
      <w:spacing w:after="160" w:line="259" w:lineRule="auto"/>
    </w:pPr>
    <w:rPr>
      <w:rFonts w:ascii="Times New Roman" w:eastAsia="Cambria Math" w:hAnsi="Times New Roman" w:cs="Times New Roman"/>
      <w:sz w:val="20"/>
      <w:szCs w:val="20"/>
      <w:lang w:eastAsia="nl-NL"/>
    </w:rPr>
  </w:style>
  <w:style w:type="table" w:styleId="Lijsttabel3-Accent4">
    <w:name w:val="List Table 3 Accent 4"/>
    <w:basedOn w:val="Standaardtabel"/>
    <w:uiPriority w:val="48"/>
    <w:rsid w:val="002107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raster">
    <w:name w:val="Table Grid"/>
    <w:basedOn w:val="Standaardtabel"/>
    <w:uiPriority w:val="59"/>
    <w:rsid w:val="006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CNSF">
    <w:name w:val="NOCNSF"/>
    <w:basedOn w:val="Standaardtabel"/>
    <w:uiPriority w:val="99"/>
    <w:rsid w:val="00776E09"/>
    <w:rPr>
      <w:sz w:val="17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EF2E7"/>
    </w:tcPr>
    <w:tblStylePr w:type="firstRow">
      <w:rPr>
        <w:b/>
      </w:rPr>
      <w:tblPr/>
      <w:tcPr>
        <w:tcBorders>
          <w:bottom w:val="nil"/>
        </w:tcBorders>
        <w:shd w:val="clear" w:color="auto" w:fill="FEF2E7"/>
      </w:tcPr>
    </w:tblStylePr>
    <w:tblStylePr w:type="firstCol">
      <w:rPr>
        <w:b/>
      </w:r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8E43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30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Default">
    <w:name w:val="Default"/>
    <w:rsid w:val="008E4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customStyle="1" w:styleId="Standaard1">
    <w:name w:val="Standaard1"/>
    <w:basedOn w:val="Standaard"/>
    <w:link w:val="Standaard1Char"/>
    <w:rsid w:val="008E4308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Segoe UI"/>
      <w:noProof/>
      <w:color w:val="000000"/>
      <w:szCs w:val="17"/>
      <w:lang w:val="nl-NL" w:eastAsia="nl-NL"/>
    </w:rPr>
  </w:style>
  <w:style w:type="paragraph" w:customStyle="1" w:styleId="Rodetekst">
    <w:name w:val="_Rode tekst"/>
    <w:basedOn w:val="Standaard"/>
    <w:qFormat/>
    <w:rsid w:val="008E4308"/>
    <w:pPr>
      <w:spacing w:after="0"/>
    </w:pPr>
    <w:rPr>
      <w:rFonts w:ascii="Segoe UI" w:hAnsi="Segoe UI" w:cs="Segoe UI"/>
      <w:noProof/>
      <w:color w:val="FF0000"/>
      <w:sz w:val="17"/>
      <w:szCs w:val="17"/>
      <w:lang w:val="nl-NL" w:eastAsia="nl-NL"/>
    </w:rPr>
  </w:style>
  <w:style w:type="paragraph" w:customStyle="1" w:styleId="Hoofdtekst">
    <w:name w:val="Hoofdtekst"/>
    <w:basedOn w:val="Standaard"/>
    <w:uiPriority w:val="99"/>
    <w:rsid w:val="008E430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after="0" w:line="320" w:lineRule="atLeast"/>
      <w:textAlignment w:val="center"/>
    </w:pPr>
    <w:rPr>
      <w:rFonts w:ascii="Myriad Pro" w:eastAsia="Calibri" w:hAnsi="Myriad Pro" w:cs="Myriad Pro"/>
      <w:color w:val="000000"/>
      <w:lang w:val="nl-NL"/>
    </w:rPr>
  </w:style>
  <w:style w:type="character" w:customStyle="1" w:styleId="Standaard1Char">
    <w:name w:val="Standaard1 Char"/>
    <w:basedOn w:val="Standaardalinea-lettertype"/>
    <w:link w:val="Standaard1"/>
    <w:locked/>
    <w:rsid w:val="001E4AFE"/>
    <w:rPr>
      <w:rFonts w:ascii="ArialMT" w:hAnsi="ArialMT" w:cs="Segoe UI"/>
      <w:noProof/>
      <w:color w:val="00000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1" ma:contentTypeDescription="Een nieuw document maken." ma:contentTypeScope="" ma:versionID="15653e5dd6b29d65abfc786ed517497b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39e2976a9e44f31739cd075b73512c2c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6C7D-B382-482A-8CD5-EA0ABB470CC6}"/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9271007d-cc67-4ede-be11-4b12ffe58f18"/>
  </ds:schemaRefs>
</ds:datastoreItem>
</file>

<file path=customXml/itemProps3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BDD5D-DA45-41CE-B9DF-E5F8FFE5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DOCUMENT</vt:lpstr>
    </vt:vector>
  </TitlesOfParts>
  <Company>Nederlandse Basketball Bond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DOCUMENT</dc:title>
  <dc:subject>VERSIE OF ONDERTITEL</dc:subject>
  <dc:creator>Luuk Berends</dc:creator>
  <dc:description/>
  <cp:lastModifiedBy>Brenda James | NBB</cp:lastModifiedBy>
  <cp:revision>2</cp:revision>
  <cp:lastPrinted>2020-12-10T09:04:00Z</cp:lastPrinted>
  <dcterms:created xsi:type="dcterms:W3CDTF">2021-01-12T08:36:00Z</dcterms:created>
  <dcterms:modified xsi:type="dcterms:W3CDTF">2021-01-12T08:36:00Z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Nederlandse Basketball Bond</vt:lpwstr>
  </property>
  <property fmtid="{D5CDD505-2E9C-101B-9397-08002B2CF9AE}" pid="4" name="ComplianceAssetId">
    <vt:lpwstr/>
  </property>
  <property fmtid="{D5CDD505-2E9C-101B-9397-08002B2CF9AE}" pid="5" name="ContentTypeId">
    <vt:lpwstr>0x01010099F109CC0EEBB44DA2304E2D5179ACB9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rder">
    <vt:i4>3200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</Properties>
</file>